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　　　ー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液化炭酸ガス購入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液化炭酸ガス購入に係る競争入札に参加する資格について、確認されたく下記の書類を添えて申請します。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令和８年度</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液化炭酸ガス購入にかかる公告に基づく一般競争入札の実施にあたり、次の事項について誓約します。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539</TotalTime>
  <Pages>12</Pages>
  <Words>4</Words>
  <Characters>6767</Characters>
  <Application>JUST Note</Application>
  <Lines>417</Lines>
  <Paragraphs>235</Paragraphs>
  <CharactersWithSpaces>7144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2026-04-29T06:59:30Z</cp:lastPrinted>
  <dcterms:created xsi:type="dcterms:W3CDTF">2023-04-18T01:59:00Z</dcterms:created>
  <dcterms:modified xsi:type="dcterms:W3CDTF">2026-04-29T06:59:25Z</dcterms:modified>
  <cp:revision>47</cp:revision>
</cp:coreProperties>
</file>